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02EB" w14:textId="7EAE8CA5" w:rsidR="00100F1C" w:rsidRPr="006D3BAA" w:rsidRDefault="00100F1C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2D383F"/>
          <w:sz w:val="32"/>
          <w:szCs w:val="32"/>
        </w:rPr>
      </w:pPr>
      <w:r w:rsidRPr="006D3BAA">
        <w:rPr>
          <w:rStyle w:val="a4"/>
          <w:rFonts w:ascii="Arial" w:hAnsi="Arial" w:cs="Arial"/>
          <w:color w:val="2D383F"/>
          <w:sz w:val="32"/>
          <w:szCs w:val="32"/>
        </w:rPr>
        <w:t>ТУР</w:t>
      </w:r>
      <w:r w:rsidR="006833C4" w:rsidRPr="006D3BAA">
        <w:rPr>
          <w:rStyle w:val="a4"/>
          <w:rFonts w:ascii="Arial" w:hAnsi="Arial" w:cs="Arial"/>
          <w:color w:val="2D383F"/>
          <w:sz w:val="32"/>
          <w:szCs w:val="32"/>
        </w:rPr>
        <w:t xml:space="preserve"> «</w:t>
      </w:r>
      <w:r w:rsidR="008713FF" w:rsidRPr="006D3BAA">
        <w:rPr>
          <w:rStyle w:val="a4"/>
          <w:rFonts w:ascii="Arial" w:hAnsi="Arial" w:cs="Arial"/>
          <w:color w:val="2D383F"/>
          <w:sz w:val="32"/>
          <w:szCs w:val="32"/>
        </w:rPr>
        <w:t>БАЙКАЛЬСКИЙ ЛЁД</w:t>
      </w:r>
      <w:r w:rsidR="006833C4" w:rsidRPr="006D3BAA">
        <w:rPr>
          <w:rStyle w:val="a4"/>
          <w:rFonts w:ascii="Arial" w:hAnsi="Arial" w:cs="Arial"/>
          <w:color w:val="2D383F"/>
          <w:sz w:val="32"/>
          <w:szCs w:val="32"/>
        </w:rPr>
        <w:t>»</w:t>
      </w:r>
      <w:r w:rsidR="008713FF" w:rsidRPr="006D3BAA">
        <w:rPr>
          <w:rStyle w:val="a4"/>
          <w:rFonts w:ascii="Arial" w:hAnsi="Arial" w:cs="Arial"/>
          <w:color w:val="2D383F"/>
          <w:sz w:val="32"/>
          <w:szCs w:val="32"/>
        </w:rPr>
        <w:t xml:space="preserve"> </w:t>
      </w:r>
    </w:p>
    <w:p w14:paraId="1776D838" w14:textId="0DBBF4E4" w:rsidR="008713FF" w:rsidRPr="00100F1C" w:rsidRDefault="008713FF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D383F"/>
        </w:rPr>
      </w:pPr>
      <w:r w:rsidRPr="00100F1C">
        <w:rPr>
          <w:rFonts w:ascii="Arial" w:hAnsi="Arial" w:cs="Arial"/>
          <w:color w:val="2D383F"/>
        </w:rPr>
        <w:t>Вы посетите: Иркутск – Листвянка – Большое Голоустное - Бухта Песчаная –- Малое Море - остров Ольхон</w:t>
      </w:r>
    </w:p>
    <w:p w14:paraId="66E2EBA0" w14:textId="77777777" w:rsidR="002B6F76" w:rsidRDefault="002B6F76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2D383F"/>
        </w:rPr>
      </w:pPr>
    </w:p>
    <w:p w14:paraId="49CED799" w14:textId="37FFCDE5" w:rsidR="002B6F76" w:rsidRDefault="008713FF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2D383F"/>
        </w:rPr>
      </w:pPr>
      <w:r w:rsidRPr="006D3BAA">
        <w:rPr>
          <w:rStyle w:val="a4"/>
          <w:rFonts w:ascii="Arial" w:hAnsi="Arial" w:cs="Arial"/>
          <w:color w:val="2D383F"/>
        </w:rPr>
        <w:t>Километры чистого байкальского льда на хивусах</w:t>
      </w:r>
      <w:r w:rsidR="002B6F76">
        <w:rPr>
          <w:rStyle w:val="a4"/>
          <w:rFonts w:ascii="Arial" w:hAnsi="Arial" w:cs="Arial"/>
          <w:color w:val="2D383F"/>
        </w:rPr>
        <w:t xml:space="preserve"> и вездеходах</w:t>
      </w:r>
      <w:r w:rsidRPr="006D3BAA">
        <w:rPr>
          <w:rStyle w:val="a4"/>
          <w:rFonts w:ascii="Arial" w:hAnsi="Arial" w:cs="Arial"/>
          <w:color w:val="2D383F"/>
        </w:rPr>
        <w:t xml:space="preserve">, </w:t>
      </w:r>
    </w:p>
    <w:p w14:paraId="45518B8C" w14:textId="5A7FBB9C" w:rsidR="008713FF" w:rsidRPr="006D3BAA" w:rsidRDefault="008713FF" w:rsidP="00100F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D383F"/>
        </w:rPr>
      </w:pPr>
      <w:r w:rsidRPr="006D3BAA">
        <w:rPr>
          <w:rStyle w:val="a4"/>
          <w:rFonts w:ascii="Arial" w:hAnsi="Arial" w:cs="Arial"/>
          <w:color w:val="2D383F"/>
        </w:rPr>
        <w:t>знаменитые метановые пузырьки, фотосессии на популярных ледовых локациях! Новые впечатления и яркие эмоции!</w:t>
      </w:r>
    </w:p>
    <w:p w14:paraId="7C813BC9" w14:textId="77777777" w:rsidR="007F52D7" w:rsidRPr="007F52D7" w:rsidRDefault="007F52D7" w:rsidP="007F52D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52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Даты тура:</w:t>
      </w:r>
    </w:p>
    <w:p w14:paraId="04DF950B" w14:textId="77777777" w:rsidR="007F52D7" w:rsidRPr="007F52D7" w:rsidRDefault="007F52D7" w:rsidP="007F52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52D7">
        <w:rPr>
          <w:rFonts w:ascii="Arial" w:eastAsia="Times New Roman" w:hAnsi="Arial" w:cs="Arial"/>
          <w:sz w:val="24"/>
          <w:szCs w:val="24"/>
          <w:lang w:eastAsia="ru-RU"/>
        </w:rPr>
        <w:t>21.02.3025 - 24.02.2025</w:t>
      </w:r>
    </w:p>
    <w:p w14:paraId="71B272FC" w14:textId="77777777" w:rsidR="007846CF" w:rsidRPr="007F52D7" w:rsidRDefault="007F52D7" w:rsidP="007F52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52D7">
        <w:rPr>
          <w:rFonts w:ascii="Arial" w:eastAsia="Times New Roman" w:hAnsi="Arial" w:cs="Arial"/>
          <w:sz w:val="24"/>
          <w:szCs w:val="24"/>
          <w:lang w:eastAsia="ru-RU"/>
        </w:rPr>
        <w:t>06.03.2025 - 09.03.2025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6"/>
        <w:gridCol w:w="2696"/>
      </w:tblGrid>
      <w:tr w:rsidR="007846CF" w14:paraId="2EC5B9D3" w14:textId="77777777" w:rsidTr="009C4466">
        <w:tc>
          <w:tcPr>
            <w:tcW w:w="2266" w:type="dxa"/>
          </w:tcPr>
          <w:p w14:paraId="65F22355" w14:textId="77777777" w:rsidR="007846CF" w:rsidRDefault="007846CF" w:rsidP="009C44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2696" w:type="dxa"/>
          </w:tcPr>
          <w:p w14:paraId="15426267" w14:textId="77777777" w:rsidR="007846CF" w:rsidRDefault="007846CF" w:rsidP="009C44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100 900</w:t>
            </w:r>
          </w:p>
        </w:tc>
      </w:tr>
    </w:tbl>
    <w:p w14:paraId="2253E38E" w14:textId="2F2D235D" w:rsidR="006D3BAA" w:rsidRPr="007F52D7" w:rsidRDefault="006D3BAA" w:rsidP="007F52D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352976" w14:textId="2A67DB39" w:rsidR="00777528" w:rsidRPr="006D3BAA" w:rsidRDefault="00777528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День первый </w:t>
      </w:r>
    </w:p>
    <w:p w14:paraId="39137319" w14:textId="6B92BBA2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 в Иркутске, знакомство с гидом.</w:t>
      </w:r>
    </w:p>
    <w:p w14:paraId="3A334625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Небольшая экскурсия по Иркутску, городу купцов и декабристов, именно здесь снаряжались великие экспедиции на Камчатку и в Русскую Америку.</w:t>
      </w:r>
    </w:p>
    <w:p w14:paraId="5C16DEE5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71CEC8" w14:textId="52AD1007" w:rsid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Поездка в музей “Тальцы”, старинную сибирскую деревню 17 века,</w:t>
      </w:r>
      <w:r w:rsidR="00777528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необычный музей под открытым небом на 67 гектарах, один из интереснейших музеев деревянного зодчества России. Его создание было связано со строительством ГЭС на Ангаре и затоплением деревень. В музей доставлены старинные постройки из разных концов области.</w:t>
      </w:r>
    </w:p>
    <w:p w14:paraId="740B0EFD" w14:textId="77777777" w:rsidR="00777528" w:rsidRPr="00100F1C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  <w:r w:rsidR="00777528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ресторане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E5B2AAC" w14:textId="674AEE5A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Подъем по канатно - кресельной дороге на смотровую площадку, где сможете полюбоваться на исток Ангары, который никогда не замерзает, и там зимуют сотни водоплавающих птиц.</w:t>
      </w:r>
    </w:p>
    <w:p w14:paraId="1A80F150" w14:textId="2B7A1970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Размещение в </w:t>
      </w:r>
      <w:r w:rsidR="00A505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гостинице.</w:t>
      </w:r>
    </w:p>
    <w:p w14:paraId="5FB641F5" w14:textId="44427D46" w:rsid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Ужин</w:t>
      </w:r>
      <w:r w:rsidR="00777528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ресторане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Отдых</w:t>
      </w:r>
      <w:r w:rsidR="006D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5CCBCD2" w14:textId="77777777" w:rsidR="006D3BAA" w:rsidRPr="008713FF" w:rsidRDefault="006D3BA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D8A27C7" w14:textId="6D51D9C5" w:rsidR="008713FF" w:rsidRPr="008713FF" w:rsidRDefault="00300C4A" w:rsidP="00100F1C">
      <w:pPr>
        <w:spacing w:after="0" w:line="36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День второй</w:t>
      </w:r>
    </w:p>
    <w:p w14:paraId="0430B523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Завтрак в отеле.</w:t>
      </w:r>
    </w:p>
    <w:p w14:paraId="5BA1B13E" w14:textId="4EA14A9D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 с г</w:t>
      </w:r>
      <w:r w:rsidR="00300C4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идом. Ледовый переход Листвянка – Ольхон.</w:t>
      </w:r>
    </w:p>
    <w:p w14:paraId="651973D5" w14:textId="5DA768C1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Путешествие на Хивусе </w:t>
      </w:r>
      <w:r w:rsidR="006D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(судно на воздушной подушке) 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остановками в самых живописных местах озера.</w:t>
      </w:r>
    </w:p>
    <w:p w14:paraId="1C7DAA31" w14:textId="1E0FE6AD" w:rsidR="008713FF" w:rsidRPr="008713FF" w:rsidRDefault="00300C4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Большое Голоустное. 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Метановые пузырьки. </w:t>
      </w:r>
    </w:p>
    <w:p w14:paraId="1BF6DE4A" w14:textId="0BFE35E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Бухта Песчаная. Катание на </w:t>
      </w:r>
      <w:r w:rsidR="00300C4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льдинах.</w:t>
      </w:r>
    </w:p>
    <w:p w14:paraId="539209CD" w14:textId="75F4CD9E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</w:t>
      </w:r>
      <w:r w:rsidR="00352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48ED404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Прибытие на остров Ольхон. Трансфер на а/м УАЗ до отеля.</w:t>
      </w:r>
    </w:p>
    <w:p w14:paraId="16686F6D" w14:textId="59605618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в отеле</w:t>
      </w:r>
      <w:r w:rsidR="00352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Уж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ин.</w:t>
      </w:r>
    </w:p>
    <w:p w14:paraId="495E6D14" w14:textId="77777777" w:rsidR="006D3BAA" w:rsidRDefault="006D3BAA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4656213" w14:textId="5CEA5766" w:rsidR="001C287A" w:rsidRPr="006D3BAA" w:rsidRDefault="001C287A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День 3</w:t>
      </w:r>
    </w:p>
    <w:p w14:paraId="298CA33C" w14:textId="77777777" w:rsidR="006D3BAA" w:rsidRDefault="001C287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автрак. </w:t>
      </w:r>
      <w:r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кскурсия </w:t>
      </w:r>
      <w:r w:rsid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Хужиру на а</w:t>
      </w:r>
      <w:r w:rsidR="006D3B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/м УАЗ, </w:t>
      </w:r>
    </w:p>
    <w:p w14:paraId="52848A2F" w14:textId="44BB4679" w:rsidR="008713FF" w:rsidRPr="008713FF" w:rsidRDefault="006D3BA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путешествие 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352A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вездеходе</w:t>
      </w:r>
      <w:r w:rsidR="001C287A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самый северный мыс острова</w:t>
      </w:r>
      <w:r w:rsidR="008713FF"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сказочные ледяные пещеры и гроты Ольхона, причудливые ледяные наплески на скалах, огромные голубые торосы.</w:t>
      </w:r>
    </w:p>
    <w:p w14:paraId="41B60843" w14:textId="77777777" w:rsidR="008713FF" w:rsidRPr="008713FF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Обед-пикник на свежем воздухе, уха из байкальской рыбы, сибирские разносолы;</w:t>
      </w:r>
    </w:p>
    <w:p w14:paraId="4007DD01" w14:textId="097F2936" w:rsidR="008713FF" w:rsidRDefault="00334B65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Ужин в отеле.</w:t>
      </w:r>
    </w:p>
    <w:p w14:paraId="6E5CB0B1" w14:textId="74F3595A" w:rsidR="00334B65" w:rsidRDefault="00334B65" w:rsidP="006D3BA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6B5940" w14:textId="2527C4CA" w:rsidR="008713FF" w:rsidRPr="008713FF" w:rsidRDefault="0059088C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Ден</w:t>
      </w:r>
      <w:r w:rsidR="00100F1C"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ь</w:t>
      </w:r>
      <w:r w:rsidRPr="006D3BA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4</w:t>
      </w:r>
    </w:p>
    <w:p w14:paraId="0E678352" w14:textId="77777777" w:rsidR="008A1052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Завтрак. </w:t>
      </w:r>
      <w:r w:rsidR="0059088C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для отдыха. </w:t>
      </w: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Отъезд в Иркутск. Обед в кафе бурятской кухни. </w:t>
      </w:r>
    </w:p>
    <w:p w14:paraId="722831C2" w14:textId="40CB913B" w:rsidR="00924B78" w:rsidRPr="00100F1C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 – 18:00 прибытие в Иркутск</w:t>
      </w:r>
      <w:r w:rsidR="008A10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трансфер в аэропорт.</w:t>
      </w:r>
      <w:r w:rsidR="0059088C" w:rsidRPr="00100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2266"/>
        <w:gridCol w:w="2696"/>
      </w:tblGrid>
      <w:tr w:rsidR="00C42541" w14:paraId="057C5B37" w14:textId="77777777" w:rsidTr="00133374">
        <w:tc>
          <w:tcPr>
            <w:tcW w:w="6230" w:type="dxa"/>
            <w:gridSpan w:val="2"/>
          </w:tcPr>
          <w:p w14:paraId="002E1EA2" w14:textId="77777777" w:rsidR="00133374" w:rsidRDefault="00C42541" w:rsidP="0013337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тура Байкальский лед 4 дня/ 3 ночи пос.Листвянка – 1 сутки, пос.Хужир – 2 суток</w:t>
            </w:r>
            <w:r w:rsidR="001333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4A359FA5" w14:textId="4902817B" w:rsidR="00133374" w:rsidRDefault="00133374" w:rsidP="0013337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одного человека (в руб.)</w:t>
            </w:r>
          </w:p>
        </w:tc>
        <w:tc>
          <w:tcPr>
            <w:tcW w:w="2696" w:type="dxa"/>
          </w:tcPr>
          <w:p w14:paraId="58A1615E" w14:textId="77777777" w:rsidR="00C42541" w:rsidRPr="00542042" w:rsidRDefault="00C42541" w:rsidP="00C4254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0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Февраль-март 2025</w:t>
            </w:r>
          </w:p>
          <w:p w14:paraId="063A4BD8" w14:textId="77777777" w:rsidR="00C42541" w:rsidRDefault="00C42541" w:rsidP="00542042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6CF" w14:paraId="72B703D1" w14:textId="77777777" w:rsidTr="00133374">
        <w:tc>
          <w:tcPr>
            <w:tcW w:w="3964" w:type="dxa"/>
            <w:vMerge w:val="restart"/>
          </w:tcPr>
          <w:p w14:paraId="0EC3F3DF" w14:textId="7FC111C7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2-х местное размещение</w:t>
            </w:r>
          </w:p>
        </w:tc>
        <w:tc>
          <w:tcPr>
            <w:tcW w:w="2266" w:type="dxa"/>
          </w:tcPr>
          <w:p w14:paraId="0E6F6FE8" w14:textId="0871CF53" w:rsidR="007846CF" w:rsidRPr="007846CF" w:rsidRDefault="007846CF" w:rsidP="007846C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6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696" w:type="dxa"/>
          </w:tcPr>
          <w:p w14:paraId="6424CC1B" w14:textId="112B5DF9" w:rsidR="007846CF" w:rsidRPr="007846CF" w:rsidRDefault="007846CF" w:rsidP="007846C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6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88 700</w:t>
            </w:r>
          </w:p>
        </w:tc>
      </w:tr>
      <w:tr w:rsidR="007846CF" w14:paraId="2FA820C2" w14:textId="77777777" w:rsidTr="00133374">
        <w:tc>
          <w:tcPr>
            <w:tcW w:w="3964" w:type="dxa"/>
            <w:vMerge/>
          </w:tcPr>
          <w:p w14:paraId="721A6B39" w14:textId="77777777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7A90651C" w14:textId="3BED1004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2696" w:type="dxa"/>
          </w:tcPr>
          <w:p w14:paraId="1083E9AC" w14:textId="638214C2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100 900</w:t>
            </w:r>
          </w:p>
        </w:tc>
      </w:tr>
      <w:tr w:rsidR="007846CF" w14:paraId="35DEC064" w14:textId="77777777" w:rsidTr="00133374">
        <w:tc>
          <w:tcPr>
            <w:tcW w:w="3964" w:type="dxa"/>
            <w:vMerge w:val="restart"/>
          </w:tcPr>
          <w:p w14:paraId="5FFD91EF" w14:textId="16BE1C04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3-х местное размещение</w:t>
            </w:r>
          </w:p>
        </w:tc>
        <w:tc>
          <w:tcPr>
            <w:tcW w:w="2266" w:type="dxa"/>
          </w:tcPr>
          <w:p w14:paraId="1DD46767" w14:textId="635132AA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2696" w:type="dxa"/>
          </w:tcPr>
          <w:p w14:paraId="788F8B45" w14:textId="339484F5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91 800</w:t>
            </w:r>
          </w:p>
        </w:tc>
      </w:tr>
      <w:tr w:rsidR="007846CF" w14:paraId="296D0D5D" w14:textId="77777777" w:rsidTr="00133374">
        <w:tc>
          <w:tcPr>
            <w:tcW w:w="3964" w:type="dxa"/>
            <w:vMerge/>
          </w:tcPr>
          <w:p w14:paraId="27669C26" w14:textId="77777777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268118DA" w14:textId="3D117D4C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696" w:type="dxa"/>
          </w:tcPr>
          <w:p w14:paraId="41A31BC4" w14:textId="2E87D083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84 900</w:t>
            </w:r>
          </w:p>
        </w:tc>
      </w:tr>
      <w:tr w:rsidR="007846CF" w14:paraId="36E8BF2C" w14:textId="77777777" w:rsidTr="00133374">
        <w:tc>
          <w:tcPr>
            <w:tcW w:w="3964" w:type="dxa"/>
            <w:vMerge w:val="restart"/>
          </w:tcPr>
          <w:p w14:paraId="1933B026" w14:textId="77777777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4-х местное размещение</w:t>
            </w:r>
          </w:p>
          <w:p w14:paraId="3A2EB1D0" w14:textId="203A50C9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(два 2-х местных номера, санузел на два номера)</w:t>
            </w:r>
          </w:p>
        </w:tc>
        <w:tc>
          <w:tcPr>
            <w:tcW w:w="2266" w:type="dxa"/>
          </w:tcPr>
          <w:p w14:paraId="2C683EEC" w14:textId="542E8C06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2696" w:type="dxa"/>
          </w:tcPr>
          <w:p w14:paraId="3642ACB7" w14:textId="25C9EEF6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88 400</w:t>
            </w:r>
          </w:p>
        </w:tc>
      </w:tr>
      <w:tr w:rsidR="007846CF" w14:paraId="1A6DA87D" w14:textId="77777777" w:rsidTr="00133374">
        <w:tc>
          <w:tcPr>
            <w:tcW w:w="3964" w:type="dxa"/>
            <w:vMerge/>
          </w:tcPr>
          <w:p w14:paraId="3D878C94" w14:textId="77777777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1428D1DA" w14:textId="18BE9B92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696" w:type="dxa"/>
          </w:tcPr>
          <w:p w14:paraId="7D0741A1" w14:textId="762A1888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81 800</w:t>
            </w:r>
          </w:p>
        </w:tc>
      </w:tr>
      <w:tr w:rsidR="007846CF" w14:paraId="685C4923" w14:textId="77777777" w:rsidTr="00133374">
        <w:tc>
          <w:tcPr>
            <w:tcW w:w="3964" w:type="dxa"/>
            <w:vMerge w:val="restart"/>
          </w:tcPr>
          <w:p w14:paraId="6651D624" w14:textId="5F889E1C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420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одноместное размещен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2266" w:type="dxa"/>
          </w:tcPr>
          <w:p w14:paraId="6C910B87" w14:textId="60ADA1F4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2696" w:type="dxa"/>
          </w:tcPr>
          <w:p w14:paraId="13741BD4" w14:textId="555F4CC7" w:rsidR="007846CF" w:rsidRDefault="00647AD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  <w:r w:rsidR="00784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800</w:t>
            </w:r>
          </w:p>
        </w:tc>
      </w:tr>
      <w:tr w:rsidR="007846CF" w14:paraId="43EAC90D" w14:textId="77777777" w:rsidTr="00133374">
        <w:tc>
          <w:tcPr>
            <w:tcW w:w="3964" w:type="dxa"/>
            <w:vMerge/>
          </w:tcPr>
          <w:p w14:paraId="0500E0B0" w14:textId="77777777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14:paraId="0DB86C99" w14:textId="002B0109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696" w:type="dxa"/>
          </w:tcPr>
          <w:p w14:paraId="772AE6F2" w14:textId="57AD71B0" w:rsidR="007846CF" w:rsidRDefault="007846CF" w:rsidP="007846C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647A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</w:tbl>
    <w:p w14:paraId="2191B89C" w14:textId="77777777" w:rsidR="00133374" w:rsidRPr="00133374" w:rsidRDefault="00133374" w:rsidP="007846C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8F28D05" w14:textId="47479E53" w:rsidR="008713FF" w:rsidRPr="00133374" w:rsidRDefault="008713FF" w:rsidP="00100F1C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3337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стоимость тура включено:</w:t>
      </w:r>
    </w:p>
    <w:p w14:paraId="03029537" w14:textId="6EA616EF" w:rsidR="00917AD3" w:rsidRPr="00542042" w:rsidRDefault="00917AD3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Встреча</w:t>
      </w:r>
      <w:r w:rsidR="00782328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аэропорту; </w:t>
      </w:r>
    </w:p>
    <w:p w14:paraId="230529B3" w14:textId="2A57BD36" w:rsidR="00917AD3" w:rsidRPr="00542042" w:rsidRDefault="00917AD3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Сопровождение гида;</w:t>
      </w:r>
    </w:p>
    <w:p w14:paraId="1DAE0B60" w14:textId="01D909AA" w:rsidR="005E5D1A" w:rsidRPr="00542042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трансферы по программе тура: (микроавтобус, хивус</w:t>
      </w:r>
      <w:r w:rsidR="008A1052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вездеход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5E5D1A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Экскурсии по программе тура</w:t>
      </w:r>
      <w:r w:rsidR="005E5D1A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18CF9F2" w14:textId="0459E341" w:rsidR="00917AD3" w:rsidRDefault="00917AD3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Музей Тальцы, билеты на канатно – кресельный подъемник;</w:t>
      </w:r>
    </w:p>
    <w:p w14:paraId="53A187A6" w14:textId="1726760F" w:rsidR="00917AD3" w:rsidRDefault="00917AD3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Экскурсия по Листвянке;</w:t>
      </w:r>
    </w:p>
    <w:p w14:paraId="16FE2156" w14:textId="6022E956" w:rsidR="00917AD3" w:rsidRPr="00542042" w:rsidRDefault="005E5D1A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Ледовый переход на Хивусе Листвянка - Ольхон</w:t>
      </w:r>
      <w:r w:rsidR="008713FF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="00917AD3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7AD3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Путешествие на </w:t>
      </w:r>
      <w:r w:rsidR="0058720D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вездеходе</w:t>
      </w:r>
      <w:r w:rsidR="00917AD3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Мыс Хобой;</w:t>
      </w:r>
    </w:p>
    <w:p w14:paraId="2FC0DD02" w14:textId="5EF2D458" w:rsidR="00917AD3" w:rsidRPr="00542042" w:rsidRDefault="00917AD3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Экскурсия по Хужиру;</w:t>
      </w:r>
    </w:p>
    <w:p w14:paraId="31924F1E" w14:textId="3A08663E" w:rsidR="008713FF" w:rsidRPr="00542042" w:rsidRDefault="008713FF" w:rsidP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Питание: 3-х разовое;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5E5D1A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</w:t>
      </w:r>
      <w:r w:rsidR="00FC3B5A" w:rsidRP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номерах выбранной категории</w:t>
      </w:r>
      <w:r w:rsidR="005E5D1A"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16EF6B4" w14:textId="03F458A3" w:rsidR="00542042" w:rsidRDefault="00542042" w:rsidP="00FC3B5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20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Категория комфорт: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Листвянка - ГК Крестовая Падь - номер люкс, сьют, отель Маяк - номер люкс, сьют; Ольхон – Отель "</w:t>
      </w:r>
      <w:r w:rsidRP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Baikal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view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", Арт-отель Порт Ольхон, отель Вил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</w:t>
      </w:r>
      <w:r w:rsidRPr="005420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Малина, отель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Точка Байкала</w:t>
      </w:r>
      <w:r w:rsid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4E333EA6" w14:textId="77777777" w:rsidR="00133374" w:rsidRDefault="00FC3B5A" w:rsidP="00133374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3B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Категория стандарт: </w:t>
      </w:r>
    </w:p>
    <w:p w14:paraId="55E02B9D" w14:textId="77777777" w:rsidR="00133374" w:rsidRDefault="00FC3B5A" w:rsidP="0013337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Листвянка - ГК Крестовая Падь - номер стандарт, отель Маяк - номер стандарт</w:t>
      </w:r>
      <w:r w:rsidR="0013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1806B8E" w14:textId="4D4B1E8F" w:rsidR="00FC3B5A" w:rsidRPr="00FC3B5A" w:rsidRDefault="00FC3B5A" w:rsidP="0013337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Ольхон – ГК Байкалов Острог, Ольхон Хилл, Панорама, Ольхон Стори</w:t>
      </w:r>
      <w:r w:rsidRPr="0013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FC3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4FF905A8" w14:textId="77777777" w:rsidR="00FC3B5A" w:rsidRPr="00542042" w:rsidRDefault="00FC3B5A" w:rsidP="00FC3B5A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814946E" w14:textId="77777777" w:rsidR="00100F1C" w:rsidRPr="00542042" w:rsidRDefault="00100F1C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100F1C" w:rsidRPr="0054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01287"/>
    <w:multiLevelType w:val="multilevel"/>
    <w:tmpl w:val="ECBE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FF"/>
    <w:rsid w:val="00100F1C"/>
    <w:rsid w:val="00133374"/>
    <w:rsid w:val="001C287A"/>
    <w:rsid w:val="002217A6"/>
    <w:rsid w:val="002B6F76"/>
    <w:rsid w:val="00300C4A"/>
    <w:rsid w:val="00334B65"/>
    <w:rsid w:val="00352A45"/>
    <w:rsid w:val="00542042"/>
    <w:rsid w:val="0058720D"/>
    <w:rsid w:val="0059088C"/>
    <w:rsid w:val="005E5D1A"/>
    <w:rsid w:val="00647ADF"/>
    <w:rsid w:val="006833C4"/>
    <w:rsid w:val="006D3BAA"/>
    <w:rsid w:val="0075366A"/>
    <w:rsid w:val="00777528"/>
    <w:rsid w:val="00782328"/>
    <w:rsid w:val="007846CF"/>
    <w:rsid w:val="007F52D7"/>
    <w:rsid w:val="008713FF"/>
    <w:rsid w:val="00874D9D"/>
    <w:rsid w:val="008A1052"/>
    <w:rsid w:val="008E59AD"/>
    <w:rsid w:val="00917AD3"/>
    <w:rsid w:val="00924B78"/>
    <w:rsid w:val="00A505C7"/>
    <w:rsid w:val="00A83737"/>
    <w:rsid w:val="00B0535D"/>
    <w:rsid w:val="00B24D09"/>
    <w:rsid w:val="00BF4AE6"/>
    <w:rsid w:val="00C42541"/>
    <w:rsid w:val="00D27D83"/>
    <w:rsid w:val="00E0356F"/>
    <w:rsid w:val="00EE57E0"/>
    <w:rsid w:val="00F1469B"/>
    <w:rsid w:val="00FA33B9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70D3"/>
  <w15:chartTrackingRefBased/>
  <w15:docId w15:val="{02979424-5C86-47F9-BFC3-0E0C1EC5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374"/>
  </w:style>
  <w:style w:type="paragraph" w:styleId="2">
    <w:name w:val="heading 2"/>
    <w:basedOn w:val="a"/>
    <w:link w:val="20"/>
    <w:uiPriority w:val="9"/>
    <w:qFormat/>
    <w:rsid w:val="00871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3F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1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ur-programitem">
    <w:name w:val="tour-program__item"/>
    <w:basedOn w:val="a"/>
    <w:rsid w:val="008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713FF"/>
    <w:rPr>
      <w:color w:val="0000FF"/>
      <w:u w:val="single"/>
    </w:rPr>
  </w:style>
  <w:style w:type="paragraph" w:customStyle="1" w:styleId="price-tourdescription">
    <w:name w:val="price-tour__description"/>
    <w:basedOn w:val="a"/>
    <w:rsid w:val="0087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C3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6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9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50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815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23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4956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020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Мария</cp:lastModifiedBy>
  <cp:revision>3</cp:revision>
  <dcterms:created xsi:type="dcterms:W3CDTF">2024-11-05T06:49:00Z</dcterms:created>
  <dcterms:modified xsi:type="dcterms:W3CDTF">2024-11-05T07:11:00Z</dcterms:modified>
</cp:coreProperties>
</file>